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w:t>
        <w:t xml:space="preserve">.  </w:t>
      </w:r>
      <w:r>
        <w:rPr>
          <w:b/>
        </w:rPr>
        <w:t xml:space="preserve">Educational outreach</w:t>
      </w:r>
    </w:p>
    <w:p>
      <w:pPr>
        <w:jc w:val="both"/>
        <w:spacing w:before="100" w:after="100"/>
        <w:ind w:start="360"/>
        <w:ind w:firstLine="360"/>
      </w:pPr>
      <w:r>
        <w:rPr/>
      </w:r>
      <w:r>
        <w:rPr/>
      </w:r>
      <w:r>
        <w:t xml:space="preserve">The commissioner shall conduct an educational outreach program for the agricultural community to increase awareness of the provisions of this chapter and the best management practices of the department.  The commissioner shall inform the public about the provisions of this chapter, the complaint resolution process adopted by the department and state policy with respect to preservation and protection of agricultural and natural resources.</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 Educational outreach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 Educational outreach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§160. EDUCATIONAL OUTREACH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