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w:t>
        <w:t xml:space="preserve">.  </w:t>
      </w:r>
      <w:r>
        <w:rPr>
          <w:b/>
        </w:rPr>
        <w:t xml:space="preserve">Maine Mosquito Management Fund</w:t>
      </w:r>
    </w:p>
    <w:p>
      <w:pPr>
        <w:jc w:val="both"/>
        <w:spacing w:before="100" w:after="100"/>
        <w:ind w:start="360"/>
        <w:ind w:firstLine="360"/>
      </w:pPr>
      <w:r>
        <w:rPr/>
      </w:r>
      <w:r>
        <w:rPr/>
      </w:r>
      <w:r>
        <w:t xml:space="preserve">The Maine Mosquito Management Fund, referred to in this chapter as "the fund," is established to carry out the purposes of this chapter.  The fund consists of any money received as contributions, grants or appropriations from private and public sources. The fund, to be accounted for within the department, must be held separate and apart from all other money, funds and accounts.  Any balance remaining in the fund at the end of a fiscal year does not lapse but must be carried forward to the next fiscal year.  The department may expend the money available in the fund and make grants to private landowners, groups, organizations, agencies, municipalities, counties, the University of Maine Cooperative Extension and mosquito management districts formed pursuant to </w:t>
      </w:r>
      <w:r>
        <w:t>section 175</w:t>
      </w:r>
      <w:r>
        <w:t xml:space="preserve">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2013,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 Maine Mosquito Management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 Maine Mosquito Management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§174. MAINE MOSQUITO MANAGEMENT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