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Nonresidents</w:t>
      </w:r>
    </w:p>
    <w:p>
      <w:pPr>
        <w:jc w:val="both"/>
        <w:spacing w:before="100" w:after="100"/>
        <w:ind w:start="360"/>
        <w:ind w:firstLine="360"/>
      </w:pPr>
      <w:r>
        <w:rPr/>
      </w:r>
      <w:r>
        <w:rPr/>
      </w:r>
      <w:r>
        <w:t xml:space="preserve">Each nonresident applicant for an original license or a renewal license shall file an irrevocable consent that actions against the applicant may be filed in any appropriate court of any county or district of this State where some part of the transaction occurred out of which the alleged cause of action arose, and that process in any action may be served on the applicant by leaving 2 copies of the process with the department.  The consent must stipulate and agree that the service of process must be taken and held to be valid and binding for all purposes.  The department shall send a copy of the process to the applicant by registered mail at the address shown in its records.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§2183.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§2183.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