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2186</w:t>
        <w:t xml:space="preserve">.  </w:t>
      </w:r>
      <w:r>
        <w:rPr>
          <w:b/>
        </w:rPr>
        <w:t xml:space="preserve">Term</w:t>
      </w:r>
    </w:p>
    <w:p>
      <w:pPr>
        <w:jc w:val="both"/>
        <w:spacing w:before="100" w:after="100"/>
        <w:ind w:start="360"/>
        <w:ind w:firstLine="360"/>
      </w:pPr>
      <w:r>
        <w:rPr/>
      </w:r>
      <w:r>
        <w:rPr/>
      </w:r>
      <w:r>
        <w:t xml:space="preserve">A license expires on December 31st or at another time designated by the commissioner and becomes invalid on that date unless renewed.</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w:pPr>
        <w:jc w:val="both"/>
        <w:spacing w:before="100" w:after="100"/>
        <w:ind w:start="360"/>
        <w:ind w:firstLine="360"/>
      </w:pPr>
      <w:r>
        <w:rPr/>
      </w:r>
      <w:r>
        <w:rPr/>
      </w:r>
      <w:r>
        <w:t xml:space="preserve">A license may be renewed up to 90 days after the date of expiration upon payment of a late fee of $10 in addition to the renewal fee.  Any person who submits an application for renewal more than 90 days after the license renewal date is subject to all requirements governing new applicants under this chapter, except that the department may in its discretion, giving due consideration to the protection of the public, waive examination if the renewal application is made within 2 years from the date of the expiration.</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w:pPr>
        <w:jc w:val="both"/>
        <w:spacing w:before="100" w:after="100"/>
        <w:ind w:start="360"/>
        <w:ind w:firstLine="360"/>
      </w:pPr>
      <w:r>
        <w:rPr/>
      </w:r>
      <w:r>
        <w:rPr/>
      </w:r>
      <w:r>
        <w:t xml:space="preserve">Any arborist whose license expires while the arborist is in federal service on active duty with the Armed Forces of the United States or the National Guard, is called into service or training or is in training or education under the supervision of the Armed Forces of the United States preliminary to induction into the military service may have the license renewed without paying any intervening renewal license fees within one year after termination of that service, training or education other than by dishonorable discharge if the arborist furnishes the department with an affidavit to the effect that the arborist has been so engaged and that the service, training or education has been so terminated.</w:t>
      </w:r>
      <w:r>
        <w:t xml:space="preserve">  </w:t>
      </w:r>
      <w:r xmlns:wp="http://schemas.openxmlformats.org/drawingml/2010/wordprocessingDrawing" xmlns:w15="http://schemas.microsoft.com/office/word/2012/wordml">
        <w:rPr>
          <w:rFonts w:ascii="Arial" w:hAnsi="Arial" w:cs="Arial"/>
          <w:sz w:val="22"/>
          <w:szCs w:val="22"/>
        </w:rPr>
        <w:t xml:space="preserve">[PL 1999, c. 84,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84,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§2186. Term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§2186. Term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§2186. TERM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