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2804</w:t>
        <w:t xml:space="preserve">.  </w:t>
      </w:r>
      <w:r>
        <w:rPr>
          <w:b/>
        </w:rPr>
        <w:t xml:space="preserve">Salary</w:t>
      </w:r>
    </w:p>
    <w:p>
      <w:pPr>
        <w:jc w:val="both"/>
        <w:spacing w:before="100" w:after="100"/>
        <w:ind w:start="360"/>
        <w:ind w:firstLine="360"/>
      </w:pPr>
      <w:r>
        <w:rPr/>
      </w:r>
      <w:r>
        <w:rPr/>
      </w:r>
      <w:r>
        <w:t xml:space="preserve">Qualified part-time bee inspectors shall be employed on a per diem basis and shall receive necessary traveling expenses while actually engaged in the performance of their duties. A part-time bee inspector shall serve during the pleasure of the commissioner.</w:t>
      </w:r>
      <w:r>
        <w:t xml:space="preserve">  </w:t>
      </w:r>
      <w:r xmlns:wp="http://schemas.openxmlformats.org/drawingml/2010/wordprocessingDrawing" xmlns:w15="http://schemas.microsoft.com/office/word/2012/wordml">
        <w:rPr>
          <w:rFonts w:ascii="Arial" w:hAnsi="Arial" w:cs="Arial"/>
          <w:sz w:val="22"/>
          <w:szCs w:val="22"/>
        </w:rPr>
        <w:t xml:space="preserve">[PL 1985, c. 572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§2804. Salary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§2804. Salary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§2804. SALARY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