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w:t>
        <w:t xml:space="preserve">.  </w:t>
      </w:r>
      <w:r>
        <w:rPr>
          <w:b/>
        </w:rPr>
        <w:t xml:space="preserve">No prohibition or regulation</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the State or any political subdivision of the State may not prohibit or regulate vegetable gardens, permaculture, edible landscaping, food forests or community gardens in a manner inconsistent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 No prohibition or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 No prohibition or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 NO PROHIBITION OR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