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w:t>
        <w:t xml:space="preserve">.  </w:t>
      </w:r>
      <w:r>
        <w:rPr>
          <w:b/>
        </w:rPr>
        <w:t xml:space="preserve">Construction</w:t>
      </w:r>
    </w:p>
    <w:p>
      <w:pPr>
        <w:jc w:val="both"/>
        <w:spacing w:before="100" w:after="100"/>
        <w:ind w:start="360"/>
        <w:ind w:firstLine="360"/>
      </w:pPr>
      <w:r>
        <w:rPr/>
      </w:r>
      <w:r>
        <w:rPr/>
      </w:r>
      <w:r>
        <w:t xml:space="preserve">This chapter may not be construed to prohibit the adoption of an ordinance or regulation pursuant to the home rule authority granted to municipalities by the Constitution of Maine, Article VIII, Part Second; the powers granted to villages, plantations, counties or other political subdivisions of the State by </w:t>
      </w:r>
      <w:r>
        <w:t>Title 30‑A</w:t>
      </w:r>
      <w:r>
        <w:t xml:space="preserve">; the powers granted to the Maine Land Use Planning Commission by </w:t>
      </w:r>
      <w:r>
        <w:t>Title 12</w:t>
      </w:r>
      <w:r>
        <w:t xml:space="preserve">; and the powers granted to the Department of Environmental Protection by </w:t>
      </w:r>
      <w:r>
        <w:t>Title 38</w:t>
      </w:r>
      <w:r>
        <w:t xml:space="preserve"> of a general nature that does not solely or specifically apply to vegetable gardens, permaculture, edible landscaping, food forests or community gardens, including, but not limited to, ordinances or regulations relating to setbacks, water quality, plant and animal habitats, water use, fertilizer use, pesticide use or control of invasive species, as long as the ordinance or regulation does not have the effect of precluding vegetable gardens, permaculture, edible landscaping, food forests or community gardens in any political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§296.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