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§2988. Civil action by injured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§2988. CIVIL ACTION BY INJURED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