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§3155-B. ELIGIBLE MARKETING COOPERATIVE; REVOCATION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