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§3932. Boarding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§3932. Boarding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§3932. BOARDING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