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Killing for assault permitted</w:t>
      </w:r>
    </w:p>
    <w:p>
      <w:pPr>
        <w:jc w:val="both"/>
        <w:spacing w:before="100" w:after="100"/>
        <w:ind w:start="360"/>
        <w:ind w:firstLine="360"/>
      </w:pPr>
      <w:r>
        <w:rPr/>
      </w:r>
      <w:r>
        <w:rPr/>
      </w:r>
      <w:r>
        <w:t xml:space="preserve">Any person may lawfully kill a dog if necessary to protect that person, another person or a domesticated animal during the course of a sudden, unprovoked assault.</w:t>
      </w:r>
      <w:r>
        <w:t xml:space="preserve">  </w:t>
      </w:r>
      <w:r xmlns:wp="http://schemas.openxmlformats.org/drawingml/2010/wordprocessingDrawing" xmlns:w15="http://schemas.microsoft.com/office/word/2012/wordml">
        <w:rPr>
          <w:rFonts w:ascii="Arial" w:hAnsi="Arial" w:cs="Arial"/>
          <w:sz w:val="22"/>
          <w:szCs w:val="22"/>
        </w:rPr>
        <w:t xml:space="preserve">[PL 1997, c. 690,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§3951. Killing for assault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Killing for assault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§3951. KILLING FOR ASSAULT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