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4210</w:t>
        <w:t xml:space="preserve">.  </w:t>
      </w:r>
      <w:r>
        <w:rPr>
          <w:b/>
        </w:rPr>
        <w:t xml:space="preserve">Revocation of certification</w:t>
      </w:r>
    </w:p>
    <w:p>
      <w:pPr>
        <w:jc w:val="both"/>
        <w:spacing w:before="100" w:after="100"/>
        <w:ind w:start="360"/>
        <w:ind w:firstLine="360"/>
      </w:pPr>
      <w:r>
        <w:rPr/>
      </w:r>
      <w:r>
        <w:rPr/>
      </w:r>
      <w:r>
        <w:t xml:space="preserve">If the commissioner finds that a person certified to prepare nutrient management plans has failed to comply with </w:t>
      </w:r>
      <w:r>
        <w:t>section 4204, subsection 3</w:t>
      </w:r>
      <w:r>
        <w:t xml:space="preserve">, the commissioner may revoke that person's certification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1999, c. 530, §7 (NEW).]</w:t>
      </w:r>
    </w:p>
    <w:p>
      <w:pPr>
        <w:jc w:val="both"/>
        <w:spacing w:before="100" w:after="0"/>
        <w:ind w:start="360"/>
        <w:ind w:firstLine="360"/>
      </w:pPr>
      <w:r>
        <w:rPr>
          <w:b/>
        </w:rPr>
        <w:t>1</w:t>
        <w:t xml:space="preserve">.  </w:t>
      </w:r>
      <w:r>
        <w:rPr>
          <w:b/>
        </w:rPr>
        <w:t xml:space="preserve">Notice.</w:t>
        <w:t xml:space="preserve"> </w:t>
      </w:r>
      <w:r>
        <w:t xml:space="preserve"> </w:t>
      </w:r>
      <w:r>
        <w:t xml:space="preserve">The commissioner shall give written notice of a revocation immediately following a decision to revoke.  A notice of revocation must state the reason the certification is being revoked and the effective date of the revocation and must inform the person of the hearing provisions under </w:t>
      </w:r>
      <w:r>
        <w:t>subsection 2</w:t>
      </w:r>
      <w:r>
        <w:t xml:space="preserve"> and the appeals process before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w:pPr>
        <w:jc w:val="both"/>
        <w:spacing w:before="100" w:after="100"/>
        <w:ind w:start="360"/>
        <w:ind w:firstLine="360"/>
      </w:pPr>
      <w:r>
        <w:rPr>
          <w:b/>
        </w:rPr>
        <w:t>2</w:t>
        <w:t xml:space="preserve">.  </w:t>
      </w:r>
      <w:r>
        <w:rPr>
          <w:b/>
        </w:rPr>
        <w:t xml:space="preserve">Hearing.</w:t>
        <w:t xml:space="preserve"> </w:t>
      </w:r>
      <w:r>
        <w:t xml:space="preserve"> </w:t>
      </w:r>
      <w:r>
        <w:t xml:space="preserve">A person receiving a notice of revocation under </w:t>
      </w:r>
      <w:r>
        <w:t>subsection 1</w:t>
      </w:r>
      <w:r>
        <w:t xml:space="preserve"> may request a hearing on that revocation.  A request for a hearing must be in writing and must be made no later than 30 days after receipt of the revocation notice required under </w:t>
      </w:r>
      <w:r>
        <w:t>subsection 1</w:t>
      </w:r>
      <w:r>
        <w:t xml:space="preserve">.  The commissioner shall notify the person of the date and location of the hearing.</w:t>
      </w:r>
    </w:p>
    <w:p>
      <w:pPr>
        <w:jc w:val="both"/>
        <w:spacing w:before="100" w:after="0"/>
        <w:ind w:start="360"/>
      </w:pPr>
      <w:r>
        <w:rPr/>
      </w:r>
      <w:r>
        <w:rPr/>
      </w:r>
      <w:r>
        <w:t xml:space="preserve">A person may present evidence at a hearing that might justify reinstatement of the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w:pPr>
        <w:jc w:val="both"/>
        <w:spacing w:before="100" w:after="0"/>
        <w:ind w:start="360"/>
        <w:ind w:firstLine="360"/>
      </w:pPr>
      <w:r>
        <w:rPr>
          <w:b/>
        </w:rPr>
        <w:t>3</w:t>
        <w:t xml:space="preserve">.  </w:t>
      </w:r>
      <w:r>
        <w:rPr>
          <w:b/>
        </w:rPr>
        <w:t xml:space="preserve">Decisions; appeal.</w:t>
        <w:t xml:space="preserve"> </w:t>
      </w:r>
      <w:r>
        <w:t xml:space="preserve"> </w:t>
      </w:r>
      <w:r>
        <w:t xml:space="preserve">Decisions of the commissioner must be in writing.  The commissioner may reinstate the certification if the commissioner finds that the person has complied with </w:t>
      </w:r>
      <w:r>
        <w:t>section 4204, subsection 3</w:t>
      </w:r>
      <w:r>
        <w:t xml:space="preserve">.  A person whose certification is revoked by the commissioner may appeal that decision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§4210. Revocation of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§4210. Revocation of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§4210. REVOCATION OF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