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Contents of market order or market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§426. CONTENTS OF MARKET ORDER OR MARKET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