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Rules and regulations</w:t>
      </w:r>
    </w:p>
    <w:p>
      <w:pPr>
        <w:jc w:val="both"/>
        <w:spacing w:before="100" w:after="100"/>
        <w:ind w:start="360"/>
        <w:ind w:firstLine="360"/>
      </w:pPr>
      <w:r>
        <w:rPr/>
      </w:r>
      <w:r>
        <w:rPr/>
      </w:r>
      <w:r>
        <w:t xml:space="preserve">The commissioner may, in a manner consistent with </w:t>
      </w:r>
      <w:r>
        <w:t>Title 5, chapter 375</w:t>
      </w:r>
      <w:r>
        <w:t xml:space="preserve">, adopt rules for carrying out this subchapter and establishing a list of commodities for which a person must have a license under </w:t>
      </w:r>
      <w:r>
        <w:t>section 454</w:t>
      </w:r>
      <w:r>
        <w:t xml:space="preserve"> to act as an agent, broker, dealer or processor.</w:t>
      </w:r>
      <w:r>
        <w:t xml:space="preserve">  </w:t>
      </w:r>
      <w:r xmlns:wp="http://schemas.openxmlformats.org/drawingml/2010/wordprocessingDrawing" xmlns:w15="http://schemas.microsoft.com/office/word/2012/wordml">
        <w:rPr>
          <w:rFonts w:ascii="Arial" w:hAnsi="Arial" w:cs="Arial"/>
          <w:sz w:val="22"/>
          <w:szCs w:val="22"/>
        </w:rPr>
        <w:t xml:space="preserve">[PL 2005, c. 512,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§453.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§453.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