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§53-D. Notice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§53-D. NOTICE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