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Prohibited acts</w:t>
      </w:r>
    </w:p>
    <w:p>
      <w:pPr>
        <w:jc w:val="both"/>
        <w:spacing w:before="100" w:after="0"/>
        <w:ind w:start="360"/>
        <w:ind w:firstLine="360"/>
      </w:pPr>
      <w:r>
        <w:rPr>
          <w:b/>
        </w:rPr>
        <w:t>1</w:t>
        <w:t xml:space="preserve">.  </w:t>
      </w:r>
      <w:r>
        <w:rPr>
          <w:b/>
        </w:rPr>
        <w:t xml:space="preserve">Inconsistent development.</w:t>
        <w:t xml:space="preserve"> </w:t>
      </w:r>
      <w:r>
        <w:t xml:space="preserve"> </w:t>
      </w:r>
      <w:r>
        <w:t xml:space="preserve">An owner of abutting land may not undertake or allow any inconsistent development upon or use of land within 100 feet of registered farmland that was properly registered within the time frame provided under </w:t>
      </w:r>
      <w:r>
        <w:t>section 53‑B, subsection 1</w:t>
      </w:r>
      <w:r>
        <w:t xml:space="preserve"> and has been continuously and properly registered since the initial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0"/>
        <w:ind w:start="360"/>
        <w:ind w:firstLine="360"/>
      </w:pPr>
      <w:r>
        <w:rPr>
          <w:b/>
        </w:rPr>
        <w:t>1-A</w:t>
        <w:t xml:space="preserve">.  </w:t>
      </w:r>
      <w:r>
        <w:rPr>
          <w:b/>
        </w:rPr>
        <w:t xml:space="preserve">Incompatible use.</w:t>
        <w:t xml:space="preserve"> </w:t>
      </w:r>
      <w:r>
        <w:t xml:space="preserve"> </w:t>
      </w:r>
      <w:r>
        <w:t xml:space="preserve">Except as provided in </w:t>
      </w:r>
      <w:r>
        <w:t>section 57</w:t>
      </w:r>
      <w:r>
        <w:t xml:space="preserve">, an owner of abutting land may not undertake or allow an incompatible use within 50 feet of farmland properly registered under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(NEW).]</w:t>
      </w:r>
    </w:p>
    <w:p>
      <w:pPr>
        <w:jc w:val="both"/>
        <w:spacing w:before="100" w:after="0"/>
        <w:ind w:start="360"/>
        <w:ind w:firstLine="360"/>
      </w:pPr>
      <w:r>
        <w:rPr>
          <w:b/>
        </w:rPr>
        <w:t>2</w:t>
        <w:t xml:space="preserve">.  </w:t>
      </w:r>
      <w:r>
        <w:rPr>
          <w:b/>
        </w:rPr>
        <w:t xml:space="preserve">Building permit.</w:t>
        <w:t xml:space="preserve"> </w:t>
      </w:r>
      <w:r>
        <w:t xml:space="preserve"> </w:t>
      </w:r>
      <w:r>
        <w:t xml:space="preserve">Except as provided in </w:t>
      </w:r>
      <w:r>
        <w:t>section 57</w:t>
      </w:r>
      <w:r>
        <w:t xml:space="preserve">, a municipality may not issue a building or use permit allowing any development or use that is prohibited under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100"/>
        <w:ind w:start="360"/>
        <w:ind w:firstLine="360"/>
      </w:pPr>
      <w:r>
        <w:rPr>
          <w:b/>
        </w:rPr>
        <w:t>3</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For land adjacent to farmland registered within the time frame provided under </w:t>
      </w:r>
      <w:r>
        <w:t>section 53‑B, subsection 1</w:t>
      </w:r>
      <w:r>
        <w:t xml:space="preserve">, a lot or parcel of land that, together with any adjoining lot or parcel in the same ownership, was one acre or less in area as of January 1, 1988;</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w:pPr>
        <w:jc w:val="both"/>
        <w:spacing w:before="100" w:after="0"/>
        <w:ind w:start="720"/>
      </w:pPr>
      <w:r>
        <w:rPr/>
        <w:t>A-1</w:t>
        <w:t xml:space="preserve">.  </w:t>
      </w:r>
      <w:r>
        <w:rPr/>
      </w:r>
      <w:r>
        <w:t xml:space="preserve">For land adjacent to farmland registered pursuant to </w:t>
      </w:r>
      <w:r>
        <w:t>section 53‑I</w:t>
      </w:r>
      <w:r>
        <w:t xml:space="preserve">, a lot or parcel of land that, together with any adjoining lot or parcel in the same ownership, was one acre or less in area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608, §15 (NEW).]</w:t>
      </w:r>
    </w:p>
    <w:p>
      <w:pPr>
        <w:jc w:val="both"/>
        <w:spacing w:before="100" w:after="0"/>
        <w:ind w:start="720"/>
      </w:pPr>
      <w:r>
        <w:rPr/>
        <w:t>B</w:t>
        <w:t xml:space="preserve">.  </w:t>
      </w:r>
      <w:r>
        <w:rPr/>
      </w:r>
      <w:r>
        <w:t xml:space="preserve">Those subdivisions for which a completed application as described in former Title 30, section 4956, subsection 2, paragraph C‑1, or </w:t>
      </w:r>
      <w:r>
        <w:t>Title 30‑A, section 4403, subsection 3</w:t>
      </w:r>
      <w:r>
        <w:t xml:space="preserve">, has been filed or approved in the 2 years preceding the registration; or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 lot on which inconsistent development or incompatible use has been allowed by permit granted by a state or local government in the 2 years preceding the registration.</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