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"Stop sale, use or removal" order</w:t>
      </w:r>
    </w:p>
    <w:p>
      <w:pPr>
        <w:jc w:val="both"/>
        <w:spacing w:before="100" w:after="100"/>
        <w:ind w:start="360"/>
        <w:ind w:firstLine="360"/>
      </w:pPr>
      <w:r>
        <w:rPr/>
      </w:r>
      <w:r>
        <w:rPr/>
      </w:r>
      <w:r>
        <w:t xml:space="preserve">When the board has reasonable cause to believe a pesticide or device is being distributed, stored, transported or used in violation of any of the provisions of this subchapter or of any of the rules adopted pursuant to this subchapter, it may issue and serve a written "stop sale, use or removal" order upon the owner or custodian of that pesticide or device. If the owner or custodian is not available for service of the order, the board may attach the order to the pesticide or device and notify the owner or custodian and the registrant. The pesticide or device may not be sold, used or removed until the provisions of this subchapter have been complied with and the pesticide or device has been released in writing under conditions specified by the board or the violation has been otherwise disposed of as provided in this subchapter by a court of competent jurisdiction. The issuance of such an order is not a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§65 (AMD). PL 1989, c. 878, §E11 (AMD). PL 2005, c. 620,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 "Stop sale, use or removal"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"Stop sale, use or removal"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§612. "STOP SALE, USE OR REMOVAL"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