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741</w:t>
        <w:t xml:space="preserve">.  </w:t>
      </w:r>
      <w:r>
        <w:rPr>
          <w:b/>
        </w:rPr>
        <w:t xml:space="preserve">Title</w:t>
      </w:r>
    </w:p>
    <w:p>
      <w:pPr>
        <w:jc w:val="both"/>
        <w:spacing w:before="100" w:after="100"/>
        <w:ind w:start="360"/>
        <w:ind w:firstLine="360"/>
      </w:pPr>
      <w:r>
        <w:rPr/>
      </w:r>
      <w:r>
        <w:rPr/>
      </w:r>
      <w:r>
        <w:t xml:space="preserve">This subchapter shall be known as the "Maine Commercial Fertilizer Law".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§741.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