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§781. Disposition of misbranded or adulterated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Disposition of misbranded or adulterated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§781. DISPOSITION OF MISBRANDED OR ADULTERATED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