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Enforcement; jurisdiction</w:t>
      </w:r>
    </w:p>
    <w:p>
      <w:pPr>
        <w:jc w:val="both"/>
        <w:spacing w:before="100" w:after="100"/>
        <w:ind w:start="360"/>
        <w:ind w:firstLine="360"/>
      </w:pPr>
      <w:r>
        <w:rPr/>
      </w:r>
      <w:r>
        <w:rPr/>
      </w:r>
      <w:r>
        <w:t xml:space="preserve">The commissioner shall enforce this subchapter.  The commissioner or the commissioner's designee must have free access to any place or building, store, gift shop or any other building where birch syrup or birch syrup products are packed, stored, transported, sold or offered or exposed for sale or for transportation.  The commissioner or the commissioner's designee may open any container and may upon tendering the market price take samples.  The commissioner may recover fines imposed for a violation under this subchapter in a civil action and if the commissioner prevails in that action may recover full costs.</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All fines for violations under this subchapter must be paid to the Treasurer of State and appropriated for enforcing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The commissioner shall adopt rules to implement this subchapter.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Enforcement;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Enforcement;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§904. ENFORCEMENT;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