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403,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 established in </w:t>
      </w:r>
      <w:r>
        <w:t>Title 36, 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w:pPr>
        <w:jc w:val="both"/>
        <w:spacing w:before="100" w:after="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§5 (RP).]</w:t>
      </w:r>
    </w:p>
    <w:p>
      <w:pPr>
        <w:jc w:val="both"/>
        <w:spacing w:before="100" w:after="0"/>
        <w:ind w:start="360"/>
        <w:ind w:firstLine="360"/>
      </w:pPr>
      <w:r>
        <w:rPr>
          <w:b/>
        </w:rPr>
        <w:t>3</w:t>
        <w:t xml:space="preserve">.  </w:t>
      </w:r>
      <w:r>
        <w:rPr>
          <w:b/>
        </w:rPr>
        <w:t xml:space="preserve">Fund.</w:t>
        <w:t xml:space="preserve"> </w:t>
      </w:r>
      <w:r>
        <w:t xml:space="preserve"> </w:t>
      </w:r>
      <w:r>
        <w:t xml:space="preserve">"Fund" means the Potato Marketing Improvement Fund established in </w:t>
      </w:r>
      <w:r>
        <w:t>Title 10, section 1023‑N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 PL 2021, c. 560,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