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Annual report on use of funds</w:t>
      </w:r>
    </w:p>
    <w:p>
      <w:pPr>
        <w:jc w:val="both"/>
        <w:spacing w:before="100" w:after="100"/>
        <w:ind w:start="360"/>
        <w:ind w:firstLine="360"/>
      </w:pPr>
      <w:r>
        <w:rPr/>
      </w:r>
      <w:r>
        <w:rPr/>
      </w:r>
      <w:r>
        <w:t xml:space="preserve">Beginning February 15, 2019 and annually thereafter, the executive director of the State Harness Racing Commission, in consultation with the Commissioner of Agriculture, Conservation and Forestry, shall submit a report to the joint standing committees of the Legislature having jurisdiction over slot machines, harness racing, agricultural fairs and appropriations and financial affairs regarding the use of slot machine revenue deposited in funds under </w:t>
      </w:r>
      <w:r>
        <w:t>section 1036, subsection 2, paragraphs B</w:t>
      </w:r>
      <w:r>
        <w:t xml:space="preserve">, </w:t>
      </w:r>
      <w:r>
        <w:t>C</w:t>
      </w:r>
      <w:r>
        <w:t xml:space="preserve">, </w:t>
      </w:r>
      <w:r>
        <w:t>D</w:t>
      </w:r>
      <w:r>
        <w:t xml:space="preserve">, </w:t>
      </w:r>
      <w:r>
        <w:t>H</w:t>
      </w:r>
      <w:r>
        <w:t xml:space="preserve"> and </w:t>
      </w:r>
      <w:r>
        <w:t>I</w:t>
      </w:r>
      <w:r>
        <w:t xml:space="preserve">.  The executive director and the commissioner shall obtain the information as described in this section. The report required by this section must be completed using budgeted resources.  The executive director may not distribute funds listed under </w:t>
      </w:r>
      <w:r>
        <w:t>section 1036, subsection 2</w:t>
      </w:r>
      <w:r>
        <w:t xml:space="preserve">, as applicable, to harness racing tracks, off-track betting facilities, agricultural fairs or the Sire Stakes Fund under </w:t>
      </w:r>
      <w:r>
        <w:t>section 281</w:t>
      </w:r>
      <w:r>
        <w:t xml:space="preserve"> until the information required to submit the report required by this section is provided.  The report required by this section may be combined with the report required under </w:t>
      </w:r>
      <w:r>
        <w:t>section 267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§6 (AMD).]</w:t>
      </w:r>
    </w:p>
    <w:p>
      <w:pPr>
        <w:jc w:val="both"/>
        <w:spacing w:before="100" w:after="100"/>
        <w:ind w:start="360"/>
        <w:ind w:firstLine="360"/>
      </w:pPr>
      <w:r>
        <w:rPr>
          <w:b/>
        </w:rPr>
        <w:t>1</w:t>
        <w:t xml:space="preserve">.  </w:t>
      </w:r>
      <w:r>
        <w:rPr>
          <w:b/>
        </w:rPr>
        <w:t xml:space="preserve">Commercial tracks.</w:t>
        <w:t xml:space="preserve"> </w:t>
      </w:r>
      <w:r>
        <w:t xml:space="preserve"> </w:t>
      </w:r>
      <w:r>
        <w:t xml:space="preserve">A report required by this section must include the following information from commercial tracks licensed in accordance with </w:t>
      </w:r>
      <w:r>
        <w:t>chapter 11</w:t>
      </w:r>
      <w:r>
        <w:t xml:space="preserve"> that receive a distribution of slot machine revenue under </w:t>
      </w:r>
      <w:r>
        <w:t>section 1036, subsection 2, paragraph B</w:t>
      </w:r>
      <w:r>
        <w:t xml:space="preserve">, </w:t>
      </w:r>
      <w:r>
        <w:t>D</w:t>
      </w:r>
      <w:r>
        <w:t xml:space="preserve"> or </w:t>
      </w:r>
      <w:r>
        <w:t>H</w:t>
      </w:r>
      <w:r>
        <w:t xml:space="preserve">:</w:t>
      </w:r>
    </w:p>
    <w:p>
      <w:pPr>
        <w:jc w:val="both"/>
        <w:spacing w:before="100" w:after="0"/>
        <w:ind w:start="720"/>
      </w:pPr>
      <w:r>
        <w:rPr/>
        <w:t>A</w:t>
        <w:t xml:space="preserve">.  </w:t>
      </w:r>
      <w:r>
        <w:rPr/>
      </w:r>
      <w:r>
        <w:t xml:space="preserve">The total amount wagered on live harness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intrastate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total amount wagered on interstate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number of harness races originated in the State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 of the harness racing handle from wagers at the commercial track kept by that commercial track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received from the handle distribution from wagers at other tracks and off-track betting facilities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revenue received in accordance with </w:t>
      </w:r>
      <w:r>
        <w:t>section 1036, subsection 2, paragraphs B</w:t>
      </w:r>
      <w:r>
        <w:t xml:space="preserve">, </w:t>
      </w:r>
      <w:r>
        <w:t>D</w:t>
      </w:r>
      <w:r>
        <w:t xml:space="preserve"> and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number of full-time and part-time employees at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if any, spent on capital improvements to the commercial track and related facilities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J</w:t>
        <w:t xml:space="preserve">.  </w:t>
      </w:r>
      <w:r>
        <w:rPr/>
      </w:r>
      <w:r>
        <w:t xml:space="preserve">Operating costs for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K</w:t>
        <w:t xml:space="preserve">.  </w:t>
      </w:r>
      <w:r>
        <w:rPr/>
      </w:r>
      <w:r>
        <w:t xml:space="preserve">Profit and loss or depreciation figures for the commercial track;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L</w:t>
        <w:t xml:space="preserve">.  </w:t>
      </w:r>
      <w:r>
        <w:rPr/>
      </w:r>
      <w:r>
        <w:t xml:space="preserve">Administrative costs to comply with reporting requirements and contributions to the State Harness Racing Commission's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2</w:t>
        <w:t xml:space="preserve">.  </w:t>
      </w:r>
      <w:r>
        <w:rPr>
          <w:b/>
        </w:rPr>
        <w:t xml:space="preserve">Agricultural fair that conducts harness racing.</w:t>
        <w:t xml:space="preserve"> </w:t>
      </w:r>
      <w:r>
        <w:t xml:space="preserve"> </w:t>
      </w:r>
      <w:r>
        <w:t xml:space="preserve">The report required by this section must include the following with regard to the use of slot machine revenue distributed to an agricultural fair that is licensed under </w:t>
      </w:r>
      <w:r>
        <w:t>chapter 11</w:t>
      </w:r>
      <w:r>
        <w:t xml:space="preserve"> to conduct harness racing:</w:t>
      </w:r>
    </w:p>
    <w:p>
      <w:pPr>
        <w:jc w:val="both"/>
        <w:spacing w:before="100" w:after="0"/>
        <w:ind w:start="720"/>
      </w:pPr>
      <w:r>
        <w:rPr/>
        <w:t>A</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harness races at the agricultural fair;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harness races originated at the agricultural fair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of the harness racing handle received by the agricultural fair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amounts, reported separately, of revenue received in accordance with </w:t>
      </w:r>
      <w:r>
        <w:t>section 1036, subsection 2, paragraphs B</w:t>
      </w:r>
      <w:r>
        <w:t xml:space="preserve"> and </w:t>
      </w:r>
      <w:r>
        <w:t>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§2 (AMD).]</w:t>
      </w:r>
    </w:p>
    <w:p>
      <w:pPr>
        <w:jc w:val="both"/>
        <w:spacing w:before="100" w:after="0"/>
        <w:ind w:start="720"/>
      </w:pPr>
      <w:r>
        <w:rPr/>
        <w:t>F</w:t>
        <w:t xml:space="preserve">.  </w:t>
      </w:r>
      <w:r>
        <w:rPr/>
      </w:r>
      <w:r>
        <w:t xml:space="preserve">The amount of revenue received to supplement harness racing purses, pay fair premiums, make capital improvements to fairground facilities, racing venues or grandstand operations and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§2 (AMD).]</w:t>
      </w:r>
    </w:p>
    <w:p>
      <w:pPr>
        <w:jc w:val="both"/>
        <w:spacing w:before="100" w:after="100"/>
        <w:ind w:start="360"/>
        <w:ind w:firstLine="360"/>
      </w:pPr>
      <w:r>
        <w:rPr>
          <w:b/>
        </w:rPr>
        <w:t>3</w:t>
        <w:t xml:space="preserve">.  </w:t>
      </w:r>
      <w:r>
        <w:rPr>
          <w:b/>
        </w:rPr>
        <w:t xml:space="preserve">Agricultural fair that does not conduct harness racing.</w:t>
        <w:t xml:space="preserve"> </w:t>
      </w:r>
      <w:r>
        <w:t xml:space="preserve"> </w:t>
      </w:r>
      <w:r>
        <w:t xml:space="preserve">The report required by this section must include the following with regard to an agricultural fair:</w:t>
      </w:r>
    </w:p>
    <w:p>
      <w:pPr>
        <w:jc w:val="both"/>
        <w:spacing w:before="100" w:after="0"/>
        <w:ind w:start="720"/>
      </w:pPr>
      <w:r>
        <w:rPr/>
        <w:t>A</w:t>
        <w:t xml:space="preserve">.  </w:t>
      </w:r>
      <w:r>
        <w:rPr/>
      </w:r>
      <w:r>
        <w:t xml:space="preserve">The amount spent to pay fair premiums, to make capital improvements to fairground facilities and for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B</w:t>
        <w:t xml:space="preserve">.  </w:t>
      </w:r>
      <w:r>
        <w:rPr/>
      </w:r>
      <w:r>
        <w:t xml:space="preserve">The amounts, reported separately, received from slot machine revenue in accordance with </w:t>
      </w:r>
      <w:r>
        <w:t>section 1036, subsection 2, paragraph 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C</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§3 (AMD).]</w:t>
      </w:r>
    </w:p>
    <w:p>
      <w:pPr>
        <w:jc w:val="both"/>
        <w:spacing w:before="100" w:after="100"/>
        <w:ind w:start="360"/>
        <w:ind w:firstLine="360"/>
      </w:pPr>
      <w:r>
        <w:rPr>
          <w:b/>
        </w:rPr>
        <w:t>4</w:t>
        <w:t xml:space="preserve">.  </w:t>
      </w:r>
      <w:r>
        <w:rPr>
          <w:b/>
        </w:rPr>
        <w:t xml:space="preserve">Breeders and owners within the Maine Standardbred program.</w:t>
        <w:t xml:space="preserve"> </w:t>
      </w:r>
      <w:r>
        <w:t xml:space="preserve"> </w:t>
      </w:r>
      <w:r>
        <w:t xml:space="preserve">A report required by this section must include the following information from horse breeders and owners within the Maine Standardbred program established pursuant to </w:t>
      </w:r>
      <w:r>
        <w:t>section 281</w:t>
      </w:r>
      <w:r>
        <w:t xml:space="preserve"> who receive a distribution under </w:t>
      </w:r>
      <w:r>
        <w:t>section 1036, subsection 2, paragraph C</w:t>
      </w:r>
      <w:r>
        <w:t xml:space="preserve">:</w:t>
      </w:r>
    </w:p>
    <w:p>
      <w:pPr>
        <w:jc w:val="both"/>
        <w:spacing w:before="100" w:after="0"/>
        <w:ind w:start="720"/>
      </w:pPr>
      <w:r>
        <w:rPr/>
        <w:t>A</w:t>
        <w:t xml:space="preserve">.  </w:t>
      </w:r>
      <w:r>
        <w:rPr/>
      </w:r>
      <w:r>
        <w:t xml:space="preserve">The number of mares bred by each Maine Standardbred stallion as reported to the State Harness Racing Commission;</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An assessment of whether the number of Maine Standardbred horses in the State is sufficient to grow and sustain harness racing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yearling horses eligible and nominated to participate in sire stakes racing;</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received from slot machine revenue in accordance with </w:t>
      </w:r>
      <w:r>
        <w:t>section 1036,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qualifying dashes for sire stakes races and the average purse for each dash sorted by the age of the horse and the average purse for each sire stakes final dash sorted by the age of the horse;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An accounting of the Sire Stakes Fund, including the total amount of the fund at the beginning and end of the racing season and, reported separately, expenditures used to supplement purses, pay breeder promotional contracts, pay advertising costs, make payments to a statewide horsemen association, pay administrative costs and make contributions to the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5</w:t>
        <w:t xml:space="preserve">.  </w:t>
      </w:r>
      <w:r>
        <w:rPr>
          <w:b/>
        </w:rPr>
        <w:t xml:space="preserve">Off-track betting facility.</w:t>
        <w:t xml:space="preserve"> </w:t>
      </w:r>
      <w:r>
        <w:t xml:space="preserve"> </w:t>
      </w:r>
      <w:r>
        <w:t xml:space="preserve">The report required by this section must include, with regard to a facility licensed to conduct off-track betting on harness racing:</w:t>
      </w:r>
    </w:p>
    <w:p>
      <w:pPr>
        <w:jc w:val="both"/>
        <w:spacing w:before="100" w:after="0"/>
        <w:ind w:start="720"/>
      </w:pPr>
      <w:r>
        <w:rPr/>
        <w:t>A</w:t>
        <w:t xml:space="preserve">.  </w:t>
      </w:r>
      <w:r>
        <w:rPr/>
      </w:r>
      <w:r>
        <w:t xml:space="preserve">The number of individual wagers placed on intrastate and interstate simulcast races and the total amount for each;</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number of full-time and part-time employees of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operating costs for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name and primary location of the company licensed to operate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races originating in the State received for simulcast as reported by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if any, spent on capital improvements to the off-track betting facility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the harness racing handle kept by the off-track betting facility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amount received from the handle distribution from wagers at tracks and other off-track betting facilities under </w:t>
      </w:r>
      <w:r>
        <w:t>section 286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of revenue received in accordance with </w:t>
      </w:r>
      <w:r>
        <w:t>section 1036,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0"/>
        <w:ind w:start="360"/>
        <w:ind w:firstLine="360"/>
      </w:pPr>
      <w:r>
        <w:rPr>
          <w:b/>
        </w:rPr>
        <w:t>6</w:t>
        <w:t xml:space="preserve">.  </w:t>
      </w:r>
      <w:r>
        <w:rPr>
          <w:b/>
        </w:rPr>
        <w:t xml:space="preserve">Other recipients.</w:t>
        <w:t xml:space="preserve"> </w:t>
      </w:r>
      <w:r>
        <w:t xml:space="preserve"> </w:t>
      </w:r>
      <w:r>
        <w:t xml:space="preserve">The Fund for a Healthy Maine's program providing prescription drugs for adults who are elderly or disabled, the University of Maine System and the Maine Community College System shall submit reports that include the amount of slot machine revenue received under </w:t>
      </w:r>
      <w:r>
        <w:t>section 1036, subsection 2</w:t>
      </w:r>
      <w:r>
        <w:t xml:space="preserve"> and how that revenue was used to meet the statutory requirements cited in </w:t>
      </w:r>
      <w:r>
        <w:t>section 1036, subsection 2, paragraphs E</w:t>
      </w:r>
      <w:r>
        <w:t xml:space="preserve">, </w:t>
      </w:r>
      <w:r>
        <w:t>F</w:t>
      </w:r>
      <w:r>
        <w:t xml:space="preserve"> and </w:t>
      </w:r>
      <w:r>
        <w:t>G</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 PL 2011, c. 657, Pt. W, §6 (REV). PL 2017, c. 231, §26 (AMD). PL 2017, c. 288, Pt. B, §§2, 3 (AMD). PL 2017, c. 371,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§1037. Annual report on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Annual report on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§1037. ANNUAL REPORT ON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