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Denial; suspension; revocation; grounds</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license issued under this chapter.  The following are grounds for denial, suspension or revocation of a license:</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the performance of services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licensed or conviction of a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 violation of this chapter or a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4</w:t>
        <w:t xml:space="preserve">.  </w:t>
      </w:r>
      <w:r>
        <w:rPr>
          <w:b/>
        </w:rPr>
        <w:t xml:space="preserve">Aiding or abetting unlicensed practice.</w:t>
        <w:t xml:space="preserve"> </w:t>
      </w:r>
      <w:r>
        <w:t xml:space="preserve"> </w:t>
      </w:r>
      <w:r>
        <w:t xml:space="preserve">Aiding or abetting the practice of displaying or discharging fireworks by a person not duly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100"/>
        <w:ind w:start="360"/>
        <w:ind w:firstLine="360"/>
      </w:pPr>
      <w:r>
        <w:rPr>
          <w:b/>
        </w:rPr>
        <w:t>5</w:t>
        <w:t xml:space="preserve">.  </w:t>
      </w:r>
      <w:r>
        <w:rPr>
          <w:b/>
        </w:rPr>
        <w:t xml:space="preserve">Incompetence.</w:t>
        <w:t xml:space="preserve"> </w:t>
      </w:r>
      <w:r>
        <w:t xml:space="preserve"> </w:t>
      </w:r>
      <w:r>
        <w:t xml:space="preserve">Incompetence in the practice of displaying or discharging fireworks.  A licensee is considered incompetent in the practice if the licensee has:</w:t>
      </w:r>
    </w:p>
    <w:p>
      <w:pPr>
        <w:jc w:val="both"/>
        <w:spacing w:before="100" w:after="0"/>
        <w:ind w:start="720"/>
      </w:pPr>
      <w:r>
        <w:rPr/>
        <w:t>A</w:t>
        <w:t xml:space="preserve">.  </w:t>
      </w:r>
      <w:r>
        <w:rPr/>
      </w:r>
      <w:r>
        <w:t xml:space="preserve">Engaged in professional conduct that evidences a lack of ability or fitness to perform the duties for which that licensee is licensed; or</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Engaged in professional conduct that evidences a lack of knowledge of, or inability to apply, appropriate principles or skills to carry out the practice for which that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 Denial;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Denial;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§234. DENIAL;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