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Penalties</w:t>
      </w:r>
    </w:p>
    <w:p>
      <w:pPr>
        <w:jc w:val="both"/>
        <w:spacing w:before="100" w:after="100"/>
        <w:ind w:start="360"/>
        <w:ind w:firstLine="360"/>
      </w:pPr>
      <w:r>
        <w:rPr/>
      </w:r>
      <w:r>
        <w:rPr/>
      </w:r>
      <w:r>
        <w:t xml:space="preserve">Any person, association or corporation holding or conducting, or any person or persons aiding or abetting in the holding or conducting of, any harness horse race or meet for public exhibition within the State without a license duly issued by the commission when a license is required under </w:t>
      </w:r>
      <w:r>
        <w:t>sections 269</w:t>
      </w:r>
      <w:r>
        <w:t xml:space="preserve"> and </w:t>
      </w:r>
      <w:r>
        <w:t>270</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611,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