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particular provisions of this Act, the Uniform Commercial Code and the principles of law and equity, including the law relative to capacity to contract, principal and agent, estoppel, fraud, misrepresentation, duress, coercion, mistake, bankruptcy or other validating or invalidating cause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§1-103. SUPPLEMENTARY GENERAL PRINCIPLES OF LAW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