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10-306</w:t>
        <w:t xml:space="preserve">.  </w:t>
      </w:r>
      <w:r>
        <w:rPr>
          <w:b/>
        </w:rPr>
        <w:t xml:space="preserve">Privacy of consumer financial information</w:t>
      </w:r>
    </w:p>
    <w:p>
      <w:pPr>
        <w:jc w:val="both"/>
        <w:spacing w:before="100" w:after="100"/>
        <w:ind w:start="360"/>
        <w:ind w:firstLine="360"/>
      </w:pPr>
      <w:r>
        <w:rPr/>
      </w:r>
      <w:r>
        <w:rPr/>
      </w:r>
      <w:r>
        <w:t xml:space="preserve">A loan broker shall comply with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the National Credit Union Administration, 12 Code of Federal Regulations, Part 716 (2001); the Federal Trade Commission, 16 Code of Federal Regulations, Part 313 (2001); or the Securities and Exchange Commission, 17 Code of Federal Regulations, Part 248 (2001), if the loan broker is a financial institution as defined in those regulations.  This section is not intended to permit the release of health care information except as permitted by </w:t>
      </w:r>
      <w:r>
        <w:t>Title 22, section 1711‑C</w:t>
      </w:r>
      <w:r>
        <w:t xml:space="preserve"> or </w:t>
      </w:r>
      <w:r>
        <w:t>Title 24‑A, chapter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274,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§A3 (NEW). PL 2005, c. 274,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§10-306. Privacy of consumer financial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§10-306. Privacy of consumer financial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§10-306. PRIVACY OF CONSUMER FINANCIAL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