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Records; annual and quarterly reports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336, §3 (RP).]</w:t>
      </w:r>
    </w:p>
    <w:p>
      <w:pPr>
        <w:jc w:val="both"/>
        <w:spacing w:before="100" w:after="0"/>
        <w:ind w:start="360"/>
        <w:ind w:firstLine="360"/>
      </w:pPr>
      <w:r>
        <w:rPr>
          <w:b/>
        </w:rPr>
        <w:t>2</w:t>
        <w:t xml:space="preserve">.  </w:t>
      </w:r>
      <w:r>
        <w:rPr>
          <w:b/>
        </w:rPr>
      </w:r>
      <w:r>
        <w:t xml:space="preserve"> </w:t>
      </w:r>
      <w:r>
        <w:t xml:space="preserve">The administrator may direct each licensee to file composite annual and quarterly reports relating to all supervised loans made, arranged or serviced by that licensee. Information contained in annual and quarterly reports is confidential and may be published only in composite form. The administrator may at any time require additional reports if the administrator determines such action necessary to the proper supervision of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336, §3 (AMD). PL 1985, c. 336, §4 (AMD). PL 2013, c. 466, §6 (AMD). PL 2017, c. 106,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 Records; annual and quarterly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Records; annual and quarterly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§2-304. RECORDS; ANNUAL AND QUARTERLY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