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2-508</w:t>
        <w:t xml:space="preserve">.  </w:t>
      </w:r>
      <w:r>
        <w:rPr>
          <w:b/>
        </w:rPr>
        <w:t xml:space="preserve">Conversion to open end credit</w:t>
      </w:r>
    </w:p>
    <w:p>
      <w:pPr>
        <w:jc w:val="both"/>
        <w:spacing w:before="100" w:after="100"/>
        <w:ind w:start="360"/>
        <w:ind w:firstLine="360"/>
      </w:pPr>
      <w:r>
        <w:rPr/>
      </w:r>
      <w:r>
        <w:rPr/>
      </w:r>
      <w:r>
        <w:t xml:space="preserve">The parties may agree to add the unpaid balance of a consumer credit transaction not made pursuant to open-end credit to the consumer's open-end credit account with the creditor. The unpaid balance so added is an amount equal to the amount financed determined according to the provisions on finance charge on refinancing, </w:t>
      </w:r>
      <w:r>
        <w:t>section 2‑504</w:t>
      </w:r>
      <w:r>
        <w:t xml:space="preserve">. This section does not apply to consumer leases.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§2-508. Conversion to open end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§2-508. Conversion to open end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§2-508. CONVERSION TO OPEN END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