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jc w:val="both"/>
        <w:spacing w:before="100" w:after="100"/>
        <w:ind w:start="1080" w:hanging="720"/>
      </w:pPr>
      <w:r>
        <w:rPr>
          <w:b/>
        </w:rPr>
        <w:t>§</w:t>
        <w:t>615</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CAPITAL AND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CAPITAL AND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61. CAPITAL AND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