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w:t>
        <w:t xml:space="preserve">.  </w:t>
      </w:r>
      <w:r>
        <w:rPr>
          <w:b/>
        </w:rPr>
        <w:t xml:space="preserve">Rules</w:t>
      </w:r>
    </w:p>
    <w:p>
      <w:pPr>
        <w:jc w:val="both"/>
        <w:spacing w:before="100" w:after="100"/>
        <w:ind w:start="360"/>
        <w:ind w:firstLine="360"/>
      </w:pPr>
      <w:r>
        <w:rPr/>
      </w:r>
      <w:r>
        <w:rPr/>
      </w:r>
      <w:r>
        <w:t xml:space="preserve">The superintendent shall have the power to implement by rule any provision of law relating to the supervision of financial institutions or their subsidiaries or financial institution holding companies or their subsidiaries or to amend or repeal such rules, subject to </w:t>
      </w:r>
      <w:r>
        <w:t>section 251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328,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1985, c. 328,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§215.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