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Applicability of chapter</w:t>
      </w:r>
    </w:p>
    <w:p>
      <w:pPr>
        <w:jc w:val="both"/>
        <w:spacing w:before="100" w:after="100"/>
        <w:ind w:start="360"/>
        <w:ind w:firstLine="360"/>
      </w:pPr>
      <w:r>
        <w:rPr/>
      </w:r>
      <w:r>
        <w:rPr/>
      </w:r>
      <w:r>
        <w:t xml:space="preserve">The provisions of this chapter apply to financial institutions organized under </w:t>
      </w:r>
      <w:r>
        <w:t>chapters 31</w:t>
      </w:r>
      <w:r>
        <w:t xml:space="preserve"> and </w:t>
      </w:r>
      <w:r>
        <w:t>32</w:t>
      </w:r>
      <w:r>
        <w:t xml:space="preserve"> and establish minimum record-keeping requirements for these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I,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§451.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